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b/>
          <w:color w:val="1F3A5F"/>
          <w:sz w:val="38"/>
        </w:rPr>
        <w:t>WebTrustEngine R50</w:t>
      </w:r>
    </w:p>
    <w:p>
      <w:pPr>
        <w:spacing w:after="80" w:before="0"/>
      </w:pPr>
      <w:r>
        <w:rPr>
          <w:b/>
          <w:color w:val="C9A227"/>
          <w:sz w:val="22"/>
        </w:rPr>
        <w:t>Tek Sayfalık Özet</w:t>
      </w:r>
    </w:p>
    <w:p>
      <w:pPr>
        <w:spacing w:after="120" w:before="0"/>
      </w:pPr>
      <w:r>
        <w:rPr>
          <w:b/>
          <w:color w:val="1F3A5F"/>
          <w:sz w:val="21"/>
        </w:rPr>
        <w:t>İncele. Güvenli düzelt. Yayına hazırla. Canlıda doğrula.</w:t>
      </w:r>
    </w:p>
    <w:p>
      <w:pPr>
        <w:spacing w:after="40" w:before="0"/>
      </w:pPr>
      <w:r>
        <w:rPr>
          <w:b/>
          <w:color w:val="1F3A5F"/>
          <w:sz w:val="20"/>
        </w:rPr>
        <w:t>Nedir?</w:t>
      </w:r>
    </w:p>
    <w:p>
      <w:pPr>
        <w:spacing w:after="80" w:before="0"/>
      </w:pPr>
      <w:r>
        <w:rPr>
          <w:color w:val="444444"/>
          <w:sz w:val="17"/>
        </w:rPr>
        <w:t>Kurumsal web sitenizi güvenlik başlıkları, teknik SEO, yapılandırılmış veri, erişilebilirlik, performans hazırlığı, AI/GEO/AEO okunabilirliği, gizlilik ve dağıtım hijyeni açısından kanıtla inceleyen; düşük riskli düzeltmeleri güvenle uygulayan ve canlıda doğrulamanız için net bir plan veren kanıt temelli web yönetişim motoru. Skor değil, kanıt paketi teslim eder.</w:t>
      </w:r>
    </w:p>
    <w:p>
      <w:pPr>
        <w:spacing w:after="60" w:before="0"/>
      </w:pPr>
      <w:r>
        <w:rPr>
          <w:b/>
          <w:color w:val="1F3A5F"/>
          <w:sz w:val="20"/>
        </w:rPr>
        <w:t>R50 — sayı disiplini</w:t>
      </w:r>
    </w:p>
    <w:p>
      <w:pPr>
        <w:spacing w:before="20" w:after="40"/>
        <w:jc w:val="center"/>
      </w:pPr>
      <w:r>
        <w:drawing>
          <wp:inline xmlns:a="http://schemas.openxmlformats.org/drawingml/2006/main" xmlns:pic="http://schemas.openxmlformats.org/drawingml/2006/picture">
            <wp:extent cx="6400800" cy="960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50_STAT_STRIP_T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60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444444"/>
          <w:sz w:val="15"/>
        </w:rPr>
        <w:t>Görsel — R50 sayı sözleşmesi: 2.033 referans katalog otomatik kontrol değildir; çalışan kontrol 319'dur.</w:t>
      </w:r>
    </w:p>
    <w:p>
      <w:pPr>
        <w:spacing w:after="40" w:before="0"/>
      </w:pPr>
      <w:r>
        <w:rPr>
          <w:b/>
          <w:color w:val="1F3A5F"/>
          <w:sz w:val="20"/>
        </w:rPr>
        <w:t>Dört mod</w:t>
      </w:r>
    </w:p>
    <w:p>
      <w:pPr>
        <w:spacing w:after="20"/>
        <w:ind w:left="173"/>
      </w:pPr>
      <w:r>
        <w:rPr>
          <w:color w:val="444444"/>
          <w:sz w:val="17"/>
        </w:rPr>
        <w:t>▸  İnceleme — kanıtlı başlangıç, dosya değiştirmez</w:t>
      </w:r>
    </w:p>
    <w:p>
      <w:pPr>
        <w:spacing w:after="20"/>
        <w:ind w:left="173"/>
      </w:pPr>
      <w:r>
        <w:rPr>
          <w:color w:val="444444"/>
          <w:sz w:val="17"/>
        </w:rPr>
        <w:t>▸  Güvenli Düzeltme (SafeFix) — düşük riskli, geri alınabilir düzeltme</w:t>
      </w:r>
    </w:p>
    <w:p>
      <w:pPr>
        <w:spacing w:after="20"/>
        <w:ind w:left="173"/>
      </w:pPr>
      <w:r>
        <w:rPr>
          <w:color w:val="444444"/>
          <w:sz w:val="17"/>
        </w:rPr>
        <w:t>▸  Üretim — yeni statik yüzeyler, yayın onayı ayrı</w:t>
      </w:r>
    </w:p>
    <w:p>
      <w:pPr>
        <w:spacing w:after="20"/>
        <w:ind w:left="173"/>
      </w:pPr>
      <w:r>
        <w:rPr>
          <w:color w:val="444444"/>
          <w:sz w:val="17"/>
        </w:rPr>
        <w:t>▸  İzleme / Dağıt-Doğrula — dağıtım sonrası kanıt</w:t>
      </w:r>
    </w:p>
    <w:p>
      <w:pPr>
        <w:spacing w:after="40" w:before="0"/>
      </w:pPr>
      <w:r>
        <w:rPr>
          <w:b/>
          <w:color w:val="1F3A5F"/>
          <w:sz w:val="20"/>
        </w:rPr>
        <w:t>Size ne teslim edilir?</w:t>
      </w:r>
    </w:p>
    <w:p>
      <w:pPr>
        <w:spacing w:after="20"/>
        <w:ind w:left="173"/>
      </w:pPr>
      <w:r>
        <w:rPr>
          <w:color w:val="444444"/>
          <w:sz w:val="17"/>
        </w:rPr>
        <w:t>▸  10 alanlı hazırlık skoru (önce/sonra)</w:t>
      </w:r>
    </w:p>
    <w:p>
      <w:pPr>
        <w:spacing w:after="20"/>
        <w:ind w:left="173"/>
      </w:pPr>
      <w:r>
        <w:rPr>
          <w:color w:val="444444"/>
          <w:sz w:val="17"/>
        </w:rPr>
        <w:t>▸  Değişen dosya listesi + geri alma planı</w:t>
      </w:r>
    </w:p>
    <w:p>
      <w:pPr>
        <w:spacing w:after="20"/>
        <w:ind w:left="173"/>
      </w:pPr>
      <w:r>
        <w:rPr>
          <w:color w:val="444444"/>
          <w:sz w:val="17"/>
        </w:rPr>
        <w:t>▸  Dış aksiyon reçeteleri + canlı doğrulama kontrol listesi</w:t>
      </w:r>
    </w:p>
    <w:p>
      <w:pPr>
        <w:spacing w:after="40" w:before="0"/>
      </w:pPr>
      <w:r>
        <w:rPr>
          <w:b/>
          <w:color w:val="1F3A5F"/>
          <w:sz w:val="20"/>
        </w:rPr>
        <w:t>Sınır</w:t>
      </w:r>
    </w:p>
    <w:p>
      <w:pPr>
        <w:spacing w:after="80" w:before="0"/>
      </w:pPr>
      <w:r>
        <w:rPr>
          <w:color w:val="444444"/>
          <w:sz w:val="16"/>
        </w:rPr>
        <w:t>Sıralama, trafik veya yapay zekâ atfı garanti edilmez; kanıt, hazırlık ve doğrulanabilirlik sağlanır. Güvenlik incelemesi statik kapsamdadır; aktif sızma testi ayrı yetki ve kapsam gerektirir.</w:t>
      </w:r>
    </w:p>
    <w:p>
      <w:pPr>
        <w:spacing w:after="0" w:before="0"/>
      </w:pPr>
      <w:r>
        <w:rPr>
          <w:b/>
          <w:color w:val="1F3A5F"/>
          <w:sz w:val="18"/>
        </w:rPr>
        <w:t>Şenol Vatansever · Vatansever Bilişim</w:t>
      </w:r>
    </w:p>
    <w:sectPr w:rsidR="00FC693F" w:rsidRPr="0006063C" w:rsidSect="00034616">
      <w:footerReference w:type="default" r:id="rId10"/>
      <w:headerReference w:type="default" r:id="rId11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44444"/>
        <w:sz w:val="15"/>
      </w:rPr>
      <w:t>WebTrustEngine R50 — v3.7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WebTrustEngine R50 One-Pager (TR) v3.6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