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/>
    <w:p>
      <w:pPr>
        <w:jc w:val="center"/>
      </w:pPr>
      <w:r>
        <w:rPr>
          <w:color w:val="1F3A5F"/>
          <w:sz w:val="92"/>
        </w:rPr>
        <w:t>◈</w:t>
      </w:r>
    </w:p>
    <w:p>
      <w:pPr>
        <w:jc w:val="center"/>
      </w:pPr>
      <w:r>
        <w:rPr>
          <w:b/>
          <w:color w:val="1F3A5F"/>
          <w:sz w:val="64"/>
        </w:rPr>
        <w:t>WebTrustEngine</w:t>
      </w:r>
    </w:p>
    <w:p>
      <w:pPr>
        <w:jc w:val="center"/>
      </w:pPr>
      <w:r>
        <w:rPr>
          <w:b/>
          <w:color w:val="C9A227"/>
          <w:sz w:val="24"/>
        </w:rPr>
        <w:t>R50 · v3.7 · Public</w:t>
      </w:r>
    </w:p>
    <w:p/>
    <w:p>
      <w:pPr>
        <w:jc w:val="center"/>
      </w:pPr>
      <w:r>
        <w:rPr>
          <w:b/>
          <w:color w:val="0B1220"/>
          <w:sz w:val="38"/>
        </w:rPr>
        <w:t>Technical Trust Note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22_SECURITY_BOUNDARY_EN_1600x9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Figure VA-22 — The security boundary: static review is engine work; active testing needs separate authorization and scope.</w:t>
      </w:r>
    </w:p>
    <w:p>
      <w:pPr>
        <w:jc w:val="center"/>
      </w:pPr>
      <w:r>
        <w:rPr>
          <w:color w:val="555A66"/>
          <w:sz w:val="23"/>
        </w:rPr>
        <w:t>Architecture, boundaries and the verification contract — for technical evaluators</w:t>
      </w:r>
    </w:p>
    <w:p/>
    <w:p/>
    <w:p/>
    <w:p/>
    <w:p/>
    <w:p/>
    <w:p/>
    <w:p/>
    <w:p/>
    <w:p/>
    <w:p>
      <w:pPr>
        <w:jc w:val="center"/>
      </w:pPr>
      <w:r>
        <w:rPr>
          <w:color w:val="555A66"/>
          <w:sz w:val="20"/>
        </w:rPr>
        <w:t>July 2026</w:t>
      </w:r>
    </w:p>
    <w:p>
      <w:r>
        <w:br w:type="page"/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1. Purpose and Audience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07_SECURITY_HEADERS_TLS_LADDER_EN_1600x900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Figure VA-07 — The security headers and TLS ladder: from base transport to policy layer.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This note is written for CTOs, security teams, DevOps and technical procurement. The aim is verifiability, not marketing: what the engine does, what it deliberately does not, where the numbers come from and which file evidences each claim.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2. Architecture Overview</w:t>
      </w:r>
    </w:p>
    <w:p>
      <w:pPr>
        <w:spacing w:before="160" w:after="40"/>
        <w:jc w:val="center"/>
      </w:pPr>
      <w:r>
        <w:drawing>
          <wp:inline xmlns:a="http://schemas.openxmlformats.org/drawingml/2006/main" xmlns:pic="http://schemas.openxmlformats.org/drawingml/2006/picture">
            <wp:extent cx="5486400" cy="30861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VA-39_TECHNICAL_TEAM_HANDOFF_MAP_EN_1600x900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before="40" w:after="200"/>
        <w:jc w:val="center"/>
      </w:pPr>
      <w:r>
        <w:rPr>
          <w:i/>
          <w:color w:val="666E7A"/>
          <w:sz w:val="18"/>
        </w:rPr>
        <w:t>Figure VA-39 — The handoff map: five steps from delivery to the verification report.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flow has five stages: input (ZIP/folder/authorized URL) → static analysis (319 detections + 68 security patterns) → SafeFix production (26 generators, on a working copy) → evidence package (score/manifest/rollback/checksums) → verification (21 runtime bridges + 24 external recipes + Deploy-Verify). The frozen core does not change between releases; new capability lands in a separate layer.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3. Input Types and Their Limits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ZIP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Shows file truth; cannot show server behaviour. The fastest, safest mode.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Local folder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Fast iteration on a dev copy; the pre-launch gate.</w:t>
      </w:r>
    </w:p>
    <w:p>
      <w:pPr>
        <w:keepNext/>
        <w:spacing w:before="240"/>
      </w:pPr>
      <w:r>
        <w:rPr>
          <w:rFonts w:ascii="Calibri" w:hAnsi="Calibri"/>
          <w:b/>
          <w:color w:val="1F3A5F"/>
          <w:sz w:val="25"/>
        </w:rPr>
        <w:t>Live URL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Shows response truth; only with ownership/authorization and read-only access.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4. The Static Detection Layer: How 319 Is Counted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319 = 80 core + 239 granular. Counting is code-derived (check identifiers) and cross-verified against the CLI list, the quality gate and the registry; the three must agree. One check may functionally cover multiple catalog rows; hence catalog-row counts are never reported as check counts.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5. Security Layer Detail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Four blocks: (1) secret scanning — key/password/token patterns; (2) exposure surface — .env, backups, .git, config; (3) client risks — dangerous sinks, eval/document.write, mixed content; (4) server-side SAST classification — SQLi/command/traversal/deserialization/SSRF/XXE markers. SCA/CVE logic flags risky versions and binds them to update recipes; no 'exploitable' claims are made. All findings map to OWASP language. The engine produces no exploit code; any DAST-class behaviour requires written authorization plus scope.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6. SafeFix Engineering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Principles: working-copy isolation; idempotent generators (a second identical run yields no diff); file-level diff; one-step rollback (backup dir + changed/created lists); behaviour-neutral security (no CSP-breaking inline tricks; no duplicate policy when an existing one is detected); approval-class content untouched. Every run emits FIX_MANIFEST and ROLLBACK_MANIFEST.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7. The Runtime Bridge Contract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contract: for every check not exactly measurable statically, the bridge record carries the quadruple {check, tool, metric, how}. In offline runs the status returns 'requires_live' — the engine fabricates no values. In the live phase the independent tool measures; the bridge binds the result to baseline and report. The 21 bridges cover header grades, TLS, lab/field performance, contrast, redirect chains and preview inspectors.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8. The External Recipe Template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Every recipe carries three fields: where (panel/record/service), steps (ordered and exact), verification (which query confirms it). The 24 headings cover DNS (DNSSEC, CAA), email identity (SPF/DKIM/DMARC/MTA-STS), CDN/WAF, HSTS preload, search consoles, server headers and security.txt. The engine never marks these 'done'; execution belongs to the owner, verification runs via bridges.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9. Counter Consistency and Quality Gates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Release acceptance hinges on three equalities: CLI list = quality gate = registry. Counting scripts exclude summary lines; off-by-one-class errors are caught by the gate and the fix is recorded in release notes. Test suites (engine + security) run each release; the result report enters the evidence package.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10. Evidence and Integrity Discipline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After packaging, SHA-256 digests are produced from real files; the manifest carries the file/size/type inventory. Delivery verification is three steps: unzip, verify checksums, confirm presence of critical files (scores, rollback, recipes). This buyer-side procedure takes five minutes and reduces vendor claims to file truth.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11. Known Limits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Static analysis cannot see server-runtime behaviour; live verification is the mandatory complement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JS-rendered content is partially visible statically; live bridges are advised on critical pages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Field CWV is not produced; it is CrUX/PageSpeed-sourced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Active security testing is out of scope; an authorized engagement is required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Legal-compliance judgment sits in the human layer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12. The Verification Matrix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02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Claim</w:t>
            </w:r>
          </w:p>
        </w:tc>
        <w:tc>
          <w:tcPr>
            <w:tcW w:type="dxa" w:w="316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Evidence file</w:t>
            </w:r>
          </w:p>
        </w:tc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Independent confirmation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319 working checks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CONTROL_REGISTRY + CLI list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registry row count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Changes reversible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ROLLBACK_MANIFEST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a reversal drill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Headers ready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fixed ZIP .htaccess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SecurityHeaders (live)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TLS readiness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redirect+HSTS recipe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SSL Labs (live)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Perf readiness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defer/cache changes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PageSpeed (live)</w:t>
            </w:r>
          </w:p>
        </w:tc>
      </w:tr>
      <w:tr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Integrity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CHECKSUMS.sha256</w:t>
            </w:r>
          </w:p>
        </w:tc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sha256sum -c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This matrix is designed so a technical evaluator can perform all verification independently; no row rests on vendor assertion.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13. Input Preparation Guide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ZIP must be taken from the root (index file at root) and include all asset folders (css/js/img/fonts). Exclude: node_modules, .git history, local backups and private key files — these create analysis noise and unnecessary secret exposure. Symlinks should be dereferenced; empty folders are fine. On multilingual sites, language copies must sit in the same ZIP at their real paths so the hreflang audit can run.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14. The Finding Schema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Every finding carries five fields: module (detector id), severity (info/medium/high), file (relative path), axis (SEO/A11Y/TRUST/PERF/SCHEMA/CONTENT/DELIVER), class (ENTEGRE/RUNTIME/EXTERNAL/CONDITIONAL/MANUAL). This schema enables filtering, prioritisation and class-based routing from one list. Severity expresses signal weight, not fix urgency; urgency is read together with the domain score and business context.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15. The Scoring Model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 domain score derives out of 100 by normalising finding density and severity mix in that axis against page count. Overall is the mean of domains. Deliberate design choices: no single pass/fail stamp (the decision belongs to context); the score is an internal-readiness measure never conflated with independent tool grades; cross-run comparison is meaningful only with the same input type and scope.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16. Anatomy of the .htaccess Recipe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Recipe blocks in order: (1) HTTPS redirect + HSTS; (2) security headers (nosniff, frame-ancestors/X-Frame, Referrer-Policy, Permissions-Policy); (3) CSP — only when the site lacks its own policy; (4) compression; (5) cache-control lifetimes by asset type; (6) directory listing off. Each block is comment-tagged; if hosting refuses one, it can be disabled per block.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17. CSP Conflict Prevention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flow: existing-policy detection (server config files + meta tags scanned) → if present, no engine-side CSP is added, only a compatibility note → if absent, an origin-aware baseline is proposed (used external origins whitelisted) → inline-script-breaking tricks are never produced. Because double policies intersect and narrow, the single-source principle is absolute.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18. Multilingual and hreflang Rules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Audited: reciprocal hreflang pairs per language copy, x-default presence, canonicals pointing within their own language, language attributes and per-language completeness of meta sets, cross-language consistency of identity signals. One-way hreflang, cross-canonicals and mixed-language meta are the three most frequent errors, flagged at file level.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19. JSON-LD Audit Rules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Rules: every block is parsed (invalid JSON is its own finding); @type is matched to page context; per-type required fields are audited (Organization→name/url, FAQPage→Q-A pairs, Breadcrumb→ordered items); cross-block identity consistency (same name/URL/sameAs) is verified; sector types are suggested as conditional rules only when content exists. Production is cautious under the principle that wrong schema costs more than missing schema.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20. The Static Performance Rule Set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Applied: defer on external scripts (inline untouched); flagging images missing width/height; lazy suggestions for offscreen images; compression + type-based cache lifetimes for text assets; @import chains and giant single-CSS warnings; a third-party script inventory. Not applied: automatic minify rewrites (source integrity) and critical-CSS extraction (render-dependent) — reported as recommendations.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21. The Deploy-Verify Technical Procedure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Seven steps: (1) extract the fixed ZIP at root; (2) hosting cache purge + CDN purge (if any); (3) fetch live headers and compare line-by-line with the expected set; (4) trace HTTP→HTTPS and the www decision on three sample URLs; (5) verify 404 behaviour with a non-existent URL; (6) refresh two representative pages in OG/Twitter debuggers; (7) run the independent tool pass and bind bridge outputs to baseline. The report yields the expected↔live diff table.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22. Data Handling and Confidentiality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Input (ZIP/folder) is processed solely for evaluation; production outputs are limited to the delivered package. Secret-scan findings enter reports masked (full values never written). Live-URL mode is read-only; authenticated areas are not entered. Retention and disposal are defined in the scope agreement.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23. Integration Points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engine runs from the command line, which makes three integrations natural: (1) a CI gate — running Review on the release branch against a score threshold; (2) scheduled Monitor — periodic diffs via cron; (3) the delivery pipeline — automatic Review of agency output before acceptance. Outputs are JSON+Markdown, so they feed existing reporting tools.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24. The Run Reference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 typical run takes the input path, the output directory and a mode flag; an apply flag is added when fixes are to be written, and a page cap splits runs on large sites. The output directory contract is fixed: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site_work/ — the working copy with fixes applied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reports/ — score + finding + class reports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safefix/ — FIX_MANIFEST + ROLLBACK_MANIFEST + backups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RUN_SUMMARY.json — the run's at-a-glance record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Re-running the same input yields no new diff by idempotence; if it does, that is an error signal and halts release acceptance.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25. Output Schemas — Field by Field</w:t>
      </w:r>
    </w:p>
    <w:p>
      <w:pPr>
        <w:keepNext/>
        <w:spacing w:before="240"/>
      </w:pPr>
      <w:r>
        <w:rPr>
          <w:rFonts w:ascii="Calibri" w:hAnsi="Calibri"/>
          <w:b/>
          <w:color w:val="C9A227"/>
          <w:sz w:val="22"/>
        </w:rPr>
        <w:t>RUN_SUMMARY.json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Field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Meaning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input / mode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input path and run mode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pages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pages processed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score_before / score_after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internal readiness scores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fixes_applied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count of applied fixes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frozen_engine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core version signature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outputs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produced file paths</w:t>
            </w:r>
          </w:p>
        </w:tc>
      </w:tr>
    </w:tbl>
    <w:p>
      <w:pPr>
        <w:spacing w:after="40"/>
      </w:pPr>
    </w:p>
    <w:p>
      <w:pPr>
        <w:keepNext/>
        <w:spacing w:before="240"/>
      </w:pPr>
      <w:r>
        <w:rPr>
          <w:rFonts w:ascii="Calibri" w:hAnsi="Calibri"/>
          <w:b/>
          <w:color w:val="C9A227"/>
          <w:sz w:val="22"/>
        </w:rPr>
        <w:t>FIX_MANIFEST.json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Field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Meaning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schema_version / mode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schema version and run mode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change_count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total changes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needs_human_count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items awaiting human approval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backup_dir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path of backups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changes[]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records at type+file+note level</w:t>
            </w:r>
          </w:p>
        </w:tc>
      </w:tr>
    </w:tbl>
    <w:p>
      <w:pPr>
        <w:spacing w:after="40"/>
      </w:pPr>
    </w:p>
    <w:p>
      <w:pPr>
        <w:keepNext/>
        <w:spacing w:before="240"/>
      </w:pPr>
      <w:r>
        <w:rPr>
          <w:rFonts w:ascii="Calibri" w:hAnsi="Calibri"/>
          <w:b/>
          <w:color w:val="C9A227"/>
          <w:sz w:val="22"/>
        </w:rPr>
        <w:t>ROLLBACK_MANIFEST.json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288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Field</w:t>
            </w:r>
          </w:p>
        </w:tc>
        <w:tc>
          <w:tcPr>
            <w:tcW w:type="dxa" w:w="619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Meaning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backup_dir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source of reversal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files[]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changed files</w:t>
            </w:r>
          </w:p>
        </w:tc>
      </w:tr>
      <w:tr>
        <w:tc>
          <w:tcPr>
            <w:tcW w:type="dxa" w:w="288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created_files[]</w:t>
            </w:r>
          </w:p>
        </w:tc>
        <w:tc>
          <w:tcPr>
            <w:tcW w:type="dxa" w:w="619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newly created (removed on reversal)</w:t>
            </w:r>
          </w:p>
        </w:tc>
      </w:tr>
    </w:tbl>
    <w:p>
      <w:pPr>
        <w:spacing w:after="40"/>
      </w:pP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26. Failure Modes and Diagnosis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Mode: Partial ZIP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Symptom: Findings abnormally dense; asset-missing warnings cluster.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Fix: Re-take the full ZIP from root; review the exclude list.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Mode: Encoding issue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Symptom: Turkish characters garble; content findings skew.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Fix: Normalise sources to UTF-8; re-run.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Mode: Permission/read-only output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Symptom: SafeFix cannot write; the manifest is empty.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Fix: Move the output directory to a writable location.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Mode: Policy clash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Symptom: Live style/script breakage; CSP violations in console.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Fix: Single-source rule: with a server policy present, engine CSP is removed; inline hacks never used.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Mode: Cache illusion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Symptom: Files correct, live stale.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Fix: Run the purge step; repeat the header fetch.</w:t>
      </w:r>
    </w:p>
    <w:p>
      <w:pPr>
        <w:spacing w:after="40" w:line="283" w:lineRule="auto"/>
      </w:pPr>
      <w:r>
        <w:rPr>
          <w:rFonts w:ascii="Calibri" w:hAnsi="Calibri"/>
          <w:b/>
          <w:color w:val="1F3A5F"/>
          <w:sz w:val="21"/>
        </w:rPr>
        <w:t>Mode: Preview staleness</w:t>
      </w:r>
    </w:p>
    <w:p>
      <w:pPr>
        <w:spacing w:after="40" w:line="283" w:lineRule="auto"/>
      </w:pPr>
      <w:r>
        <w:rPr>
          <w:rFonts w:ascii="Calibri" w:hAnsi="Calibri"/>
          <w:b w:val="0"/>
          <w:sz w:val="20"/>
        </w:rPr>
        <w:t>Symptom: Social cards show days-old state.</w:t>
      </w:r>
    </w:p>
    <w:p>
      <w:pPr>
        <w:spacing w:after="100" w:line="283" w:lineRule="auto"/>
      </w:pPr>
      <w:r>
        <w:rPr>
          <w:rFonts w:ascii="Calibri" w:hAnsi="Calibri"/>
          <w:b w:val="0"/>
          <w:sz w:val="20"/>
        </w:rPr>
        <w:t>Fix: Debugger refresh; verify with two representative URLs.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27. The Release Acceptance Checklist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CLI = gate = registry (80/26) equality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Test suites (engine+security) OK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Idempotence: second run yields zero diff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Full pass on two reference sites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ROADMAP = 0 confirmed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Patch/Count/Test reports produced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Checksums computed post-packaging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Open-verify: checksums + critical-file presence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Freeze snapshot unchanged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Claim-safety grep clean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A rollback drill performed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The number ledger current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28. The Technical Mini-Glossary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Idempotency — A re-run on the same input producing no new diff.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Freeze snapshot — The core signature unchanged across releases.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Axis — The finding's quality axis (SEO/A11Y/TRUST…).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Class — The finding's artifact class (ENTEGRE/RUNTIME/…).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requires_live — The bridge's offline status value.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Maskeli bulgu — Secret values never written to reports.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Tek-kaynak CSP — The rule of managing policy from one source.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Beklenen set — The header list live fetches compare against.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Unzip-verify — Post-package unzip+checksum+critical-file check.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Diff raporu — The expected↔live difference table.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29. Anatomy of the Two Reference Runs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Each release is accepted via full passes on two reference sites; the R50 runs profiled as follows (scores are the engine's internal measure, not live tool grades):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600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Run</w:t>
            </w:r>
          </w:p>
        </w:tc>
        <w:tc>
          <w:tcPr>
            <w:tcW w:type="dxa" w:w="244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Internal score (before→after)</w:t>
            </w:r>
          </w:p>
        </w:tc>
        <w:tc>
          <w:tcPr>
            <w:tcW w:type="dxa" w:w="3312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Leading fix classes</w:t>
            </w:r>
          </w:p>
        </w:tc>
      </w:tr>
      <w:tr>
        <w:tc>
          <w:tcPr>
            <w:tcW w:type="dxa" w:w="360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Reference A (corporate product site)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88 → 96</w:t>
            </w:r>
          </w:p>
        </w:tc>
        <w:tc>
          <w:tcPr>
            <w:tcW w:type="dxa" w:w="331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header recipe · OG/Twitter completion · sitemap/robots refresh</w:t>
            </w:r>
          </w:p>
        </w:tc>
      </w:tr>
      <w:tr>
        <w:tc>
          <w:tcPr>
            <w:tcW w:type="dxa" w:w="3600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Reference B (corporate services site)</w:t>
            </w:r>
          </w:p>
        </w:tc>
        <w:tc>
          <w:tcPr>
            <w:tcW w:type="dxa" w:w="244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87 → 98</w:t>
            </w:r>
          </w:p>
        </w:tc>
        <w:tc>
          <w:tcPr>
            <w:tcW w:type="dxa" w:w="3312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meta/canonical completion · baseline JSON-LD · image dimensions/lazy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shared pattern of the two runs is instructive: the largest score jumps come from the 'missing meta layer' and 'delivery hygiene' classes; security headers change the risk profile rather than the score, and their real counterpart appears only in the live pass. Run outputs (RUN_SUMMARY, both manifests, changed-file lists) are retained in the release evidence package.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30. A Bridge-Result Binding Example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One line shows the bridge in practice. The expected-set record says: 'the strict-transport-security header must be present in the live response; measurement: live header fetch + SecurityHeaders'. In the Deploy-Verify pass the live fetch returns one of three outcomes: the header present with the expected value (the row closes), present with a different value (written to the diff table as a value mismatch), or absent (purge check first, then server-processing diagnosis). The bridge's job is binding this three-way outcome to the baseline row — so the 'header prepared' claim sits together with the date and response that verified it.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31. Recipe-Verification Query Patterns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'verification' field of external recipes rests on standard admin queries; the most used patterns: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Email identity: a TXT lookup showing the SPF/DMARC text is live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DNSSEC: the DS lookup not returning empty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HSTS preload: the domain visible on the preload status page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Server headers: fetching live response headers and comparing with the expected set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security.txt: the /.well-known/security.txt path returning 200</w:t>
      </w:r>
    </w:p>
    <w:p>
      <w:pPr>
        <w:spacing w:after="40"/>
        <w:ind w:left="432"/>
      </w:pPr>
      <w:r>
        <w:rPr>
          <w:b/>
          <w:color w:val="C9A227"/>
          <w:sz w:val="20"/>
        </w:rPr>
        <w:t xml:space="preserve">▸  </w:t>
      </w:r>
      <w:r>
        <w:rPr>
          <w:rFonts w:ascii="Calibri" w:hAnsi="Calibri"/>
          <w:sz w:val="20"/>
        </w:rPr>
        <w:t>Search consoles: property verification showing as 'verified' in the panel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What the patterns share is neutrality: verification rests not on the recipe author's assertion but on a query anyone can repeat.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32. The Guide Cross-Reference Map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Each main topic of this note maps to a wider section in the 46-page Capability Guide; a map for readers who want depth: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46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Topic in this note</w:t>
            </w:r>
          </w:p>
        </w:tc>
        <w:tc>
          <w:tcPr>
            <w:tcW w:type="dxa" w:w="460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Guide section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Architecture and modes (§2-3)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Guide §5-9 (ten domains + four modes deep)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security layer (§5)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Guide §11 Security Boundary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SafeFix engineering (§6)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Guide §7 + §31 Reading the Reports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bridge contract (§7, §30)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Guide §18 Runtime Bridges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External recipes (§8, §31)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Guide §17 + §34 Tool Protocol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Failure modes (§26)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Guide §29 Common Mistakes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The acceptance checklist (§27)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Guide §32 Release Discipline</w:t>
            </w:r>
          </w:p>
        </w:tc>
      </w:tr>
      <w:tr>
        <w:tc>
          <w:tcPr>
            <w:tcW w:type="dxa" w:w="446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Data handling (§22)</w:t>
            </w:r>
          </w:p>
        </w:tc>
        <w:tc>
          <w:tcPr>
            <w:tcW w:type="dxa" w:w="460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Guide §16 Privacy + §38 Vendor Questions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map makes visible that the two documents are parts of one body: the note carries the contract, the guide carries the context.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33. The Expected-Set Reference: Nine Headers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nine headers Deploy-Verify compares line by line; the expected pattern and a one-line rationale for each: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2736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Header</w:t>
            </w:r>
          </w:p>
        </w:tc>
        <w:tc>
          <w:tcPr>
            <w:tcW w:type="dxa" w:w="3168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Expected pattern</w:t>
            </w:r>
          </w:p>
        </w:tc>
        <w:tc>
          <w:tcPr>
            <w:tcW w:type="dxa" w:w="3024"/>
            <w:shd w:val="clear" w:fill="1F3A5F"/>
          </w:tcPr>
          <w:p>
            <w:pPr>
              <w:jc w:val="center"/>
            </w:pPr>
            <w:r/>
            <w:r>
              <w:rPr>
                <w:rFonts w:ascii="Calibri" w:hAnsi="Calibri"/>
                <w:b/>
                <w:color w:val="FFFFFF"/>
                <w:sz w:val="17"/>
              </w:rPr>
              <w:t>Rationale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strict-transport-security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max-age + includeSubDomains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HTTPS permanence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content-security-policy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single source; origin whitelist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narrows the injection surface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x-content-type-options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nosniff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stops MIME confusion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x-frame-options / frame-ancestors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SAMEORIGIN or the CSP equivalent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clickjacking protection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referrer-policy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strict-origin-when-cross-origin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limits URL leakage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permissions-policy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unused APIs off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surface reduction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cache-control (assets)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type-based max-age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speed vs freshness balance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content-type + charset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correct type; utf-8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encoding consistency</w:t>
            </w:r>
          </w:p>
        </w:tc>
      </w:tr>
      <w:tr>
        <w:tc>
          <w:tcPr>
            <w:tcW w:type="dxa" w:w="2736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location (redirects)</w:t>
            </w:r>
          </w:p>
        </w:tc>
        <w:tc>
          <w:tcPr>
            <w:tcW w:type="dxa" w:w="3168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one hop; https target</w:t>
            </w:r>
          </w:p>
        </w:tc>
        <w:tc>
          <w:tcPr>
            <w:tcW w:type="dxa" w:w="3024"/>
          </w:tcPr>
          <w:p>
            <w:pPr>
              <w:jc w:val="left"/>
            </w:pPr>
            <w:r/>
            <w:r>
              <w:rPr>
                <w:rFonts w:ascii="Calibri" w:hAnsi="Calibri"/>
                <w:b w:val="0"/>
                <w:sz w:val="17"/>
              </w:rPr>
              <w:t>no chains, no loops</w:t>
            </w:r>
          </w:p>
        </w:tc>
      </w:tr>
    </w:tbl>
    <w:p>
      <w:pPr>
        <w:spacing w:after="40"/>
      </w:pP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The patterns are a starting reference; site-specific policy (e.g. third-party requirements) may deliberately alter the expected set — the reason is noted in the diff report.</w:t>
      </w:r>
    </w:p>
    <w:p>
      <w:pPr>
        <w:keepNext/>
        <w:spacing w:before="240"/>
        <w:pBdr>
          <w:bottom w:val="single" w:sz="6" w:space="4" w:color="C9A227"/>
        </w:pBdr>
      </w:pPr>
      <w:r>
        <w:rPr>
          <w:rFonts w:ascii="Calibri" w:hAnsi="Calibri"/>
          <w:b/>
          <w:color w:val="1F3A5F"/>
          <w:sz w:val="32"/>
        </w:rPr>
        <w:t>34. Evidence-Package Acceptance Drill — A Five-Minute Buyer Procedure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A technical evaluator can verify the delivered evidence package by hand in five minutes; this drill needs no vendor assertion and rests each step on a repeatable query.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Step 1 — Open and inventory: unzip and compare the MANIFEST file/size/type inventory against the expected structure. A missing top folder (reports/, safefix/) is the first warning.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Step 2 — Verify integrity: run the standard verification command over the checksum file; all lines must return OK. Even one FAIL means the package was altered and is rejected.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Step 3 — Audit the number: compare the CONTROL_REGISTRY (or equivalent) row count with the marketing number (319); the catalog size (2,033) must sit in a separate column, the two never conflated.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Step 4 — Test reversal: copy one file back from the ROLLBACK_MANIFEST backup_dir and confirm the site opens — this is the live drill of the 'reversible' claim.</w:t>
      </w:r>
    </w:p>
    <w:p>
      <w:pPr>
        <w:spacing w:after="40"/>
        <w:ind w:left="432"/>
      </w:pPr>
      <w:r>
        <w:rPr>
          <w:b/>
          <w:color w:val="C9A227"/>
          <w:sz w:val="21"/>
        </w:rPr>
        <w:t xml:space="preserve">▸  </w:t>
      </w:r>
      <w:r>
        <w:rPr>
          <w:rFonts w:ascii="Calibri" w:hAnsi="Calibri"/>
          <w:sz w:val="21"/>
        </w:rPr>
        <w:t>Step 5 — Check the live binding: in the Deploy-Verify diff report, verify at least one header row's expected↔live comparison and its bound independent-tool result; a 'prepared' claim must attach to a date and a response.</w:t>
      </w:r>
    </w:p>
    <w:p>
      <w:pPr>
        <w:spacing w:after="120" w:line="283" w:lineRule="auto"/>
      </w:pPr>
      <w:r>
        <w:rPr>
          <w:rFonts w:ascii="Calibri" w:hAnsi="Calibri"/>
          <w:b w:val="0"/>
          <w:sz w:val="22"/>
        </w:rPr>
        <w:t>If the drill passes, the package is accepted; if any step fails, the problem class (integrity / number / reversal / live binding) is clear and can be conveyed to the vendor in one sentence. The procedure itself is the buyer-side proof of the product's 'the files speak' promise.</w:t>
      </w:r>
    </w:p>
    <w:sectPr w:rsidR="00FC693F" w:rsidRPr="0006063C" w:rsidSect="00034616">
      <w:footerReference w:type="default" r:id="rId9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55A66"/>
        <w:sz w:val="15"/>
      </w:rPr>
      <w:t>© 2026 Şenol Vatansever · WebTrustEngine R50 v3.7 · No guarantees; readiness and evidence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WebTrustEngine R50 Technical Trust Note v3.6</dc:title>
  <dc:subject/>
  <dc:creator>Şenol Vatansever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