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color w:val="1F3A5F"/>
          <w:sz w:val="92"/>
        </w:rPr>
        <w:t>◈</w:t>
      </w:r>
    </w:p>
    <w:p>
      <w:pPr>
        <w:jc w:val="center"/>
      </w:pPr>
      <w:r>
        <w:rPr>
          <w:b/>
          <w:color w:val="1F3A5F"/>
          <w:sz w:val="64"/>
        </w:rPr>
        <w:t>WebTrustEngine</w:t>
      </w:r>
    </w:p>
    <w:p>
      <w:pPr>
        <w:jc w:val="center"/>
      </w:pPr>
      <w:r>
        <w:rPr>
          <w:b/>
          <w:color w:val="C9A227"/>
          <w:sz w:val="24"/>
        </w:rPr>
        <w:t>R50 · v3.7 · Kamuya Açık</w:t>
      </w:r>
    </w:p>
    <w:p/>
    <w:p>
      <w:pPr>
        <w:jc w:val="center"/>
      </w:pPr>
      <w:r>
        <w:rPr>
          <w:b/>
          <w:color w:val="0B1220"/>
          <w:sz w:val="38"/>
        </w:rPr>
        <w:t>Teknik Güven Notu</w:t>
      </w:r>
    </w:p>
    <w:p>
      <w:pPr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-22_GUVENLIK_SINIRI_TR_1600x9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/>
        <w:jc w:val="center"/>
      </w:pPr>
      <w:r>
        <w:rPr>
          <w:i/>
          <w:color w:val="666E7A"/>
          <w:sz w:val="18"/>
        </w:rPr>
        <w:t>Görsel VA-22 — Güvenlik sınırı: statik inceleme motor işi; aktif test ayrı yetki ve kapsam ister.</w:t>
      </w:r>
    </w:p>
    <w:p>
      <w:pPr>
        <w:jc w:val="center"/>
      </w:pPr>
      <w:r>
        <w:rPr>
          <w:color w:val="555A66"/>
          <w:sz w:val="23"/>
        </w:rPr>
        <w:t>Mimari, sınırlar ve doğrulama sözleşmesi — teknik değerlendiriciler için</w:t>
      </w:r>
    </w:p>
    <w:p/>
    <w:p/>
    <w:p/>
    <w:p/>
    <w:p/>
    <w:p/>
    <w:p/>
    <w:p/>
    <w:p/>
    <w:p/>
    <w:p>
      <w:pPr>
        <w:jc w:val="center"/>
      </w:pPr>
      <w:r>
        <w:rPr>
          <w:color w:val="555A66"/>
          <w:sz w:val="20"/>
        </w:rPr>
        <w:t>Temmuz 2026</w:t>
      </w:r>
    </w:p>
    <w:p>
      <w:r>
        <w:br w:type="page"/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1. Amaç ve Okuyucu</w:t>
      </w:r>
    </w:p>
    <w:p>
      <w:pPr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86400" cy="30861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-07_GUVENLIK_BASLIKLARI_TLS_KATMANI_TR_1600x900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/>
        <w:jc w:val="center"/>
      </w:pPr>
      <w:r>
        <w:rPr>
          <w:i/>
          <w:color w:val="666E7A"/>
          <w:sz w:val="18"/>
        </w:rPr>
        <w:t>Görsel VA-07 — Güvenlik başlıkları ve TLS katmanı: tabandan politika katmanına.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Bu not; CTO, güvenlik ekibi, DevOps ve teknik satın alma için yazılmıştır. Amaç pazarlama değil, doğrulanabilirliktir: motorun ne yaptığı, neyi bilinçli yapmadığı, sayıların nereden geldiği ve her iddianın hangi dosyayla kanıtlandığı.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2. Mimari Genel Bakış</w:t>
      </w:r>
    </w:p>
    <w:p>
      <w:pPr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86400" cy="30861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-39_TEKNIK_EKIBE_DEVIR_HARITASI_TR_1600x900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/>
        <w:jc w:val="center"/>
      </w:pPr>
      <w:r>
        <w:rPr>
          <w:i/>
          <w:color w:val="666E7A"/>
          <w:sz w:val="18"/>
        </w:rPr>
        <w:t>Görsel VA-39 — Devir haritası: teslimden doğrulama raporuna beş adım.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Akış beş aşamadır: girdi (ZIP/klasör/yetkili URL) → statik analiz (319 tespit + 68 güvenlik deseni) → Güvenli Düzeltme (SafeFix) üretimi (26 üretici, çalışma kopyasında) → kanıt paketi (skor/manifest/geri alma/sağlama toplamı) → doğrulama (21 doğrulama köprüsü + 24 dış reçete + Dağıt-Doğrula). Donmuş çekirdek sürümler arasında değişmez; yeni yetenek ayrı katmanda eklenir.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3. Girdi Tipleri ve Sınırları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ZIP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Dosya gerçeğini gösterir; sunucu davranışını gösteremez. En hızlı ve en güvenli mod.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Lokal klasör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Geliştirme kopyasında hızlı iterasyon; yayın öncesi kapı.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Canlı URL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Yanıt gerçeğini gösterir; yalnız sahiplik/yetki doğrulamasıyla ve okuma-amaçlı erişimle.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4. Statik Tespit Katmanı: 319 Nasıl Sayılır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319 = 80 çekirdek + 239 ayrıntılı. Sayım koddan yapılır (kontrol kimlikleri), CLI listesiyle, kalite kapısıyla ve kayıt dosyasıyla çapraz doğrulanır; üçü aynı değeri vermek zorundadır. Bir kontrol, referans kataloğun birden çok satırını fonksiyonel kapsayabilir; bu yüzden katalog-satırı sayısı asla kontrol sayısı gibi raporlanmaz.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5. Güvenlik Katmanı Detayı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Dört blok: (1) secret tarama — anahtar/parola/token desenleri; (2) ifşa yüzeyi — .env, yedek, .git, yapılandırma; (3) istemci riskleri — tehlikeli sink'ler, eval/document.write, karışık içerik; (4) sunucu-taraflı SAST sınıflandırması — SQLi/komut/traversal/deserialization/SSRF/XXE işaretleri. SCA/CVE mantığı riskli sürümleri işaretler ve güncelleme reçetesine bağlar; 'sömürülebilir' iddiası kurulmaz. Tüm bulgular OWASP diline eşlenir. Motor sömürü kodu üretmez; DAST-sınıfı her davranış yazılı yetki + kapsam ister.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6. Güvenli Düzeltme Mühendisliği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İlkeler: çalışma-kopyası izolasyonu; idempotent üreticiler (aynı koşu ikinci kez fark üretmez); dosya-düzeyi fark; tek-adım geri alma (yedek dizini + değişen/oluşturulan listeleri); davranış-nötr güvenlik (CSP kıran inline teknik yok, mevcut politika tespitinde çift-politika üretilmez); onay-gerektiren içerik sınıfına dokunulmaz. Her koşu FIX_MANIFEST — düzeltme manifesti ve ROLLBACK_MANIFEST (geri alma manifesti) üretir.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7. Canlı doğrulama Köprü Sözleşmesi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Sözleşme: statikte kesin ölçülemeyen her kontrol için köprü kaydı {kontrol, araç, metrik, nasıl} dörtlüsünü taşır. Offline koşuda durum 'requires_live' döner — motor değer uydurmaz. Canlı fazda ölçümü bağımsız araç yapar; köprü sonucu başlangıç ölçümüne ve rapora bağlar. 21 köprü; başlık notları, TLS, lab/saha performans, kontrast, yönlendirme zinciri ve önizleme denetçilerini kapsar.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8. Dış Reçete Şablonu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Her reçete üç alan taşır: nerede (panel/kayıt/servis), adımlar (sıralı ve kesin), doğrulama (hangi sorguyla teyit edilir). 24 başlık; DNS (DNSSEC, CAA), e-posta kimliği (SPF/DKIM/DMARC/MTA-STS), CDN/WAF, HSTS ön yükleme, arama konsolları, sunucu başlıkları ve security.txt'yi kapsar. Motor bu işleri 'yaptım' diye işaretlemez; uygulama sahibindedir, doğrulama köprüyle yapılır.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9. Sayaç Tutarlılığı ve Kalite Kapıları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Sürüm kabulü üç eşitliğe bağlıdır: CLI listesi = kalite kapısı = kayıt dosyası. Sayım betikleri özet satırlarını dışlar; tek-fark (off-by-one) sınıfı hatalar kapı tarafından yakalanır ve düzeltme sürüm notuna işlenir. Test paketleri (motor + güvenlik) her sürümde koşulur; sonuç raporu kanıt paketine girer.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10. Kanıt ve Bütünlük Disiplini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Paketleme sonrası gerçek dosyalardan SHA-256 üretilir; manifest dosya/boyut/tür envanterini taşır. Teslim doğrulaması üç adımdır: zip açılır, sağlama toplamı'lar doğrulanır, kritik dosyaların varlığı (skor, geri alma, reçeteler) kontrol edilir. Bu prosedür alıcı tarafında beş dakikadır ve tedarikçi iddialarını dosya gerçeğine indirger.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11. Bilinen Sınırlar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Statik analiz sunucu-çalışma-zamanı davranışını göremez; canlı doğrulama zorunlu tamamlayıcıdır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JS-render edilen içerik statik modda kısmî görünür; kritik sayfalarda canlı köprü önerilir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Saha CWV üretilmez; CrUX/PageSpeed kaynaklıdır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Aktif güvenlik testi kapsam dışıdır; yetkili ayrı çalışma gerekir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Hukuki uygunluk yargısı insan katmanındadır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12. Doğrulama Matrisi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024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İddia</w:t>
            </w:r>
          </w:p>
        </w:tc>
        <w:tc>
          <w:tcPr>
            <w:tcW w:type="dxa" w:w="3168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Kanıt dosyası</w:t>
            </w:r>
          </w:p>
        </w:tc>
        <w:tc>
          <w:tcPr>
            <w:tcW w:type="dxa" w:w="2880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Bağımsız teyit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319 çalışan kontrol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CONTROL_REGISTRY + CLI listesi</w:t>
            </w:r>
          </w:p>
        </w:tc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kayıt-satır sayımı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Değişiklikler geri-alınabilir</w:t>
            </w:r>
          </w:p>
        </w:tc>
        <w:tc>
          <w:tcPr>
            <w:tcW w:type="dxa" w:w="3168"/>
          </w:tcPr>
          <w:p>
            <w:pPr>
              <w:jc w:val="left"/>
            </w:pPr>
            <w:r>
              <w:t>ROLLBACK_MANIFEST — geri alma manifesti</w:t>
            </w:r>
            <w:r>
              <w:rPr>
                <w:rFonts w:ascii="Calibri" w:hAnsi="Calibri"/>
                <w:b w:val="0"/>
                <w:sz w:val="17"/>
              </w:rPr>
            </w:r>
          </w:p>
        </w:tc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geri-dönüş provası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Başlıklar hazır</w:t>
            </w:r>
          </w:p>
        </w:tc>
        <w:tc>
          <w:tcPr>
            <w:tcW w:type="dxa" w:w="3168"/>
          </w:tcPr>
          <w:p>
            <w:pPr>
              <w:jc w:val="left"/>
            </w:pPr>
            <w:r>
              <w:t>düzeltilmiş ZIP .htaccess</w:t>
            </w:r>
            <w:r>
              <w:rPr>
                <w:rFonts w:ascii="Calibri" w:hAnsi="Calibri"/>
                <w:b w:val="0"/>
                <w:sz w:val="17"/>
              </w:rPr>
            </w:r>
          </w:p>
        </w:tc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SecurityHeaders (canlı)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TLS hazırlığı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yönlendirme+HSTS reçetesi</w:t>
            </w:r>
          </w:p>
        </w:tc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SSL Labs (canlı)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Perf hazırlığı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defer/cache değişiklikleri</w:t>
            </w:r>
          </w:p>
        </w:tc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PageSpeed (canlı)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Bütünlük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CHECKSUMS.sha256</w:t>
            </w:r>
          </w:p>
        </w:tc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sha256sum -c</w:t>
            </w:r>
          </w:p>
        </w:tc>
      </w:tr>
    </w:tbl>
    <w:p>
      <w:pPr>
        <w:spacing w:after="40"/>
      </w:pP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Bu matris, teknik değerlendiricinin tüm doğrulamayı kendi eliyle yapabilmesi için tasarlanmıştır; hiçbir satır tedarikçi beyanına yaslanmaz.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13. Girdi Hazırlama Kılavuzu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ZIP kökten alınmalı (index dosyası kökte), tüm varlık klasörleri (css/js/img/fonts) dâhil edilmelidir. Hariç tutulması gerekenler: node_modules, .git geçmişi, yerel yedekler ve gizli anahtar dosyaları — bunlar analiz gürültüsü ve gereksiz sır-ifşası üretir. Sembolik bağlantılar açılmış olmalı; boş klasörler sorun değildir. Çok dilli sitede dil kopyaları aynı ZIP'te, gerçek yollarında bulunmalıdır ki hreflang denetimi çalışsın.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14. Bulgu Şeması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Her bulgu beş alan taşır: module (tespit kimliği), severity (bilgi/orta/yüksek), dosya — file (göreli yol), eksen — axis (SEO/A11Y/TRUST/PERF/SCHEMA/CONTENT/DELIVER), sınıf — class (ENTEGRE/CANLI KÖPRÜ/DIŞ AKSİYON/KOŞULLU/UZMAN). Bu şema; filtreleme, önceliklendirme ve sınıf-bazlı yönlendirmeyi tek listeden mümkün kılar. Severity, düzeltme aciliyetini değil sinyal ağırlığını anlatır; aciliyet, alan skoru + iş bağlamıyla birlikte okunur.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15. Skorlama Modeli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Alan skoru; ilgili eksendeki bulgu yoğunluğu, önem dağılımı ve sayfa sayısına normalize edilerek 100 üzerinden türetilir. Overall, alanların ortalamasıdır. Bilinçli tasarım kararları: tek 'geçti/kaldı' damgası yoktur (karar bağlama aittir); skor iç-hazırlık ölçüsüdür ve bağımsız araç notuyla karıştırılmaz; iki koşu arası karşılaştırma yalnız aynı girdi tipi ve kapsamda anlamlıdır.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16. .htaccess Reçete Anatomisi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Reçete blokları sırasıyla: (1) HTTPS yönlendirme + HSTS; (2) güvenlik başlıkları (nosniff, frame-ancestors/X-Frame, Referrer-Policy, Permissions-Policy); (3) CSP — yalnız site kendi politikasına sahip değilse; (4) sıkıştırma; (5) cache-control süreleri (varlık tipine göre); (6) dizin listelemenin kapatılması. Her blok yorum satırıyla işaretlidir; barındırma işlemezse blok bazında devre dışı bırakılabilir.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17. CSP Çakışma Önleme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Akış: mevcut politika tespiti (sunucu yapılandırma dosyaları + meta etiketleri taranır) → varsa motor tarafı CSP eklenmez, yalnız uyum notu üretilir → yoksa origin-farkındalıklı temel politika önerilir (kullanılan dış kaynaklar beyaz-listelenir) → inline-script kıran teknikler hiçbir durumda üretilmez. Çift-politika kesişip daralttığı için tek-kaynak ilkesi mutlaktır.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18. Çok-Dilli ve hreflang Kuralları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Denetlenenler: her dil kopyasında karşılıklı hreflang çiftleri, x-default varlığı, canonical'ın kendi diline işaret etmesi, dil öznitelikleri ve meta setlerinin dil-bazlı eksiksizliği, kimlik sinyallerinin diller arası tutarlılığı. Tek yönlü hreflang, çapraz-canonical ve karışık-dil meta en sık üç hatadır ve dosya düzeyinde işaretlenir.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19. JSON-LD Denetim Kuralları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Kurallar: her blok ayrıştırılır (geçersiz JSON ayrı bulgudur); @type sayfa bağlamıyla eşleştirilir; tip başına zorunlu alan listesi denetlenir (Organization→name/url, FAQPage→soru-cevap çiftleri, Breadcrumb→sıralı öğeler); kimlik blokları arası tutarlılık (aynı ad/URL/sameAs) doğrulanır; sektörel tipler koşullu kural olarak yalnız içerik varsa önerilir. Yanlış-şema, eksik-şemadan daha maliyetlidir ilkesiyle temkinli üretim yapılır.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20. Statik Performans Kural Seti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Uygulananlar: harici scriptlere defer (inline'a dokunulmaz); width/height eksik görsellerin işaretlenmesi; ekran-dışı görseller için lazy önerisi; metin varlıklarına sıkıştırma + tip-bazlı cache süreleri; @import zinciri ve devasa tek-CSS uyarıları; üçüncü-taraf script envanteri. Yapılmayanlar: otomatik minify-yeniden-yazım (kaynak bütünlüğü) ve kritik-CSS çıkarımı (render bağımlı) — bunlar öneri olarak raporlanır.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21. Dağıt-Doğrula Teknik Prosedürü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Yedi adım: (1) düzeltilmiş ZIP'i kök dizine aç; (2) barındırma önbellek temizliği + CDN önbellek temizliği (varsa); (3) canlı başlıkları çek ve beklenen setle satır-satır kıyasla; (4) HTTP→HTTPS ve www kararını üç örnek URL'de izle; (5) var-olmayan URL ile 404 davranışını doğrula; (6) OG/Twitter hata ayıklayıcı'larında iki temsilci sayfayı tazele; (7) bağımsız araç turunu koş ve köprü çıktılarını başlangıç ölçümüne bağla. Rapor, beklenen↔canlı fark tablosunu üretir.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22. Veri İşleme ve Gizlilik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Girdi (ZIP/klasör) yalnız değerlendirme amacıyla işlenir; üretim çıktıları müşteriye teslim edilen paketle sınırlıdır. Sır-tarama bulguları rapora maskelenmiş biçimde girer (tam değer yazılmaz). Canlı-URL modu okuma-amaçlıdır; kimlik doğrulamalı alanlara girilmez. Saklama süresi ve imha, kapsam sözleşmesinde tanımlanır.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23. Entegrasyon Noktaları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Motor komut satırından koşar; bu üç entegrasyonu doğal kılar: (1) CI kapısı — sürüm dalında İnceleme koşup skor eşiğini kontrol etmek; (2) zamanlanmış İzleme — cron ile dönemsel fark; (3) teslim hattı — ajans çıktısının kabul öncesi otomatik İnceleme'ı. Çıktılar JSON+Markdown olduğundan mevcut raporlama araçlarına beslenebilir.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24. Çalıştırma Referansı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Tipik koşu; girdi yolu, çıktı dizini ve mod bayrağı alır; düzeltme uygulanacaksa apply bayrağı eklenir, sayfa üst sınırı büyük sitelerde koşuyu bölmek için kullanılır. Çıktı dizini sözleşmesi sabittir: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site_work/ — düzeltme uygulanmış çalışma kopyası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reports/ — skor + bulgu + sınıf raporları</w:t>
      </w:r>
    </w:p>
    <w:p>
      <w:pPr>
        <w:spacing w:after="40"/>
        <w:ind w:left="432"/>
      </w:pPr>
      <w:r>
        <w:rPr>
          <w:b/>
          <w:color w:val="C9A227"/>
          <w:sz w:val="21"/>
        </w:rPr>
        <w:t>▸  safefix/ — FIX_MANIFEST (düzeltme manifesti) + ROLLBACK_MANIFEST (geri alma manifesti) + yedekler</w:t>
      </w:r>
      <w:r>
        <w:rPr>
          <w:rFonts w:ascii="Calibri" w:hAnsi="Calibri"/>
          <w:sz w:val="21"/>
        </w:rPr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RUN_SUMMARY.json — koşunun tek-bakış kaydı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Aynı girdiyle tekrar koşu, idempotenlik gereği yeni fark üretmez; üretirse bu bir hata sinyalidir ve sürüm kabulünü durdurur.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25. Çıktı Şemaları — Alan Alan</w:t>
      </w:r>
    </w:p>
    <w:p>
      <w:pPr>
        <w:keepNext/>
        <w:spacing w:before="240"/>
      </w:pPr>
      <w:r>
        <w:rPr>
          <w:rFonts w:ascii="Calibri" w:hAnsi="Calibri"/>
          <w:b/>
          <w:color w:val="C9A227"/>
          <w:sz w:val="22"/>
        </w:rPr>
        <w:t>RUN_SUMMARY.json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880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Alan</w:t>
            </w:r>
          </w:p>
        </w:tc>
        <w:tc>
          <w:tcPr>
            <w:tcW w:type="dxa" w:w="619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Anlam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input / mode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girdi yolu ve koşu modu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pages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işlenen sayfa sayısı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score_before / score_after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iç hazırlık skorları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t>uygulanan düzeltme sayısı</w:t>
            </w:r>
            <w:r>
              <w:rPr>
                <w:rFonts w:ascii="Calibri" w:hAnsi="Calibri"/>
                <w:b w:val="0"/>
                <w:sz w:val="17"/>
              </w:rPr>
            </w:r>
          </w:p>
        </w:tc>
        <w:tc>
          <w:tcPr>
            <w:tcW w:type="dxa" w:w="6192"/>
          </w:tcPr>
          <w:p>
            <w:pPr>
              <w:jc w:val="left"/>
            </w:pPr>
            <w:r>
              <w:t>koşuda uygulanan toplam düzeltme adedi</w:t>
            </w:r>
            <w:r>
              <w:rPr>
                <w:rFonts w:ascii="Calibri" w:hAnsi="Calibri"/>
                <w:b w:val="0"/>
                <w:sz w:val="17"/>
              </w:rPr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frozen_engine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çekirdek sürüm imzası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outputs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üretilen dosya yolları</w:t>
            </w:r>
          </w:p>
        </w:tc>
      </w:tr>
    </w:tbl>
    <w:p>
      <w:pPr>
        <w:spacing w:after="40"/>
      </w:pPr>
    </w:p>
    <w:p>
      <w:pPr>
        <w:keepNext/>
        <w:spacing w:before="240"/>
      </w:pPr>
      <w:r>
        <w:rPr>
          <w:rFonts w:ascii="Calibri" w:hAnsi="Calibri"/>
          <w:b/>
          <w:color w:val="C9A227"/>
          <w:sz w:val="22"/>
        </w:rPr>
        <w:t>FIX_MANIFEST.json — düzeltme manifesti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880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Alan</w:t>
            </w:r>
          </w:p>
        </w:tc>
        <w:tc>
          <w:tcPr>
            <w:tcW w:type="dxa" w:w="619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Anlam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schema_version / mode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şema sürümü ve koşu modu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change_count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toplam değişiklik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needs_human_count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insan onayı bekleyenler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backup_dir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yedeklerin yolu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changes[]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tür+dosya+not düzeyinde kayıtlar</w:t>
            </w:r>
          </w:p>
        </w:tc>
      </w:tr>
    </w:tbl>
    <w:p>
      <w:pPr>
        <w:spacing w:after="40"/>
      </w:pPr>
    </w:p>
    <w:p>
      <w:pPr>
        <w:keepNext/>
        <w:spacing w:before="240"/>
      </w:pPr>
      <w:r>
        <w:rPr>
          <w:rFonts w:ascii="Calibri" w:hAnsi="Calibri"/>
          <w:b/>
          <w:color w:val="C9A227"/>
          <w:sz w:val="22"/>
        </w:rPr>
        <w:t>ROLLBACK_MANIFEST.json — geri alma manifesti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880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Alan</w:t>
            </w:r>
          </w:p>
        </w:tc>
        <w:tc>
          <w:tcPr>
            <w:tcW w:type="dxa" w:w="619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Anlam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backup_dir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geri dönüşün kaynağı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files[]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değiştirilen dosyalar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created_files[]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yeni oluşturulanlar (geri dönüşte silinir)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26. Hata Modları ve Teşhis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Mod: Kısmi ZIP</w:t>
      </w:r>
    </w:p>
    <w:p>
      <w:pPr>
        <w:spacing w:after="40" w:line="283" w:lineRule="auto"/>
      </w:pPr>
      <w:r>
        <w:rPr>
          <w:rFonts w:ascii="Calibri" w:hAnsi="Calibri"/>
          <w:b w:val="0"/>
          <w:sz w:val="20"/>
        </w:rPr>
        <w:t>Belirti: Bulgular anormal yoğun, varlık-eksik uyarıları küme halinde.</w:t>
      </w:r>
    </w:p>
    <w:p>
      <w:pPr>
        <w:spacing w:after="100" w:line="283" w:lineRule="auto"/>
      </w:pPr>
      <w:r>
        <w:rPr>
          <w:rFonts w:ascii="Calibri" w:hAnsi="Calibri"/>
          <w:b w:val="0"/>
          <w:sz w:val="20"/>
        </w:rPr>
        <w:t>Çözüm: Kökten tam ZIP yeniden alınır; hariç-liste gözden geçirilir.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Mod: Kodlama sorunu</w:t>
      </w:r>
    </w:p>
    <w:p>
      <w:pPr>
        <w:spacing w:after="40" w:line="283" w:lineRule="auto"/>
      </w:pPr>
      <w:r>
        <w:rPr>
          <w:rFonts w:ascii="Calibri" w:hAnsi="Calibri"/>
          <w:b w:val="0"/>
          <w:sz w:val="20"/>
        </w:rPr>
        <w:t>Belirti: Türkçe karakterler bozuk görünür; içerik bulguları çarpık.</w:t>
      </w:r>
    </w:p>
    <w:p>
      <w:pPr>
        <w:spacing w:after="100" w:line="283" w:lineRule="auto"/>
      </w:pPr>
      <w:r>
        <w:rPr>
          <w:rFonts w:ascii="Calibri" w:hAnsi="Calibri"/>
          <w:b w:val="0"/>
          <w:sz w:val="20"/>
        </w:rPr>
        <w:t>Çözüm: Kaynak UTF-8'e normalize edilir; koşu tekrarlanır.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Mod: İzin/salt-okunur çıktı</w:t>
      </w:r>
    </w:p>
    <w:p>
      <w:pPr>
        <w:spacing w:after="40" w:line="283" w:lineRule="auto"/>
      </w:pPr>
      <w:r>
        <w:rPr>
          <w:rFonts w:ascii="Calibri" w:hAnsi="Calibri"/>
          <w:b w:val="0"/>
          <w:sz w:val="20"/>
        </w:rPr>
        <w:t>Belirti: Güvenli Düzeltme yazamaz; manifest boş.</w:t>
      </w:r>
    </w:p>
    <w:p>
      <w:pPr>
        <w:spacing w:after="100" w:line="283" w:lineRule="auto"/>
      </w:pPr>
      <w:r>
        <w:rPr>
          <w:rFonts w:ascii="Calibri" w:hAnsi="Calibri"/>
          <w:b w:val="0"/>
          <w:sz w:val="20"/>
        </w:rPr>
        <w:t>Çözüm: Çıktı dizini yazılabilir konuma alınır.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Mod: Politika çakışması</w:t>
      </w:r>
    </w:p>
    <w:p>
      <w:pPr>
        <w:spacing w:after="40" w:line="283" w:lineRule="auto"/>
      </w:pPr>
      <w:r>
        <w:rPr>
          <w:rFonts w:ascii="Calibri" w:hAnsi="Calibri"/>
          <w:b w:val="0"/>
          <w:sz w:val="20"/>
        </w:rPr>
        <w:t>Belirti: Canlıda stil/script kırılması; konsolda CSP ihlali.</w:t>
      </w:r>
    </w:p>
    <w:p>
      <w:pPr>
        <w:spacing w:after="100" w:line="283" w:lineRule="auto"/>
      </w:pPr>
      <w:r>
        <w:rPr>
          <w:rFonts w:ascii="Calibri" w:hAnsi="Calibri"/>
          <w:b w:val="0"/>
          <w:sz w:val="20"/>
        </w:rPr>
        <w:t>Çözüm: Tek-kaynak kuralı: sunucu politikası varsa motor CSP'si kaldırılır; inline-hile asla kullanılmaz.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Mod: Cache yanılgısı</w:t>
      </w:r>
    </w:p>
    <w:p>
      <w:pPr>
        <w:spacing w:after="40" w:line="283" w:lineRule="auto"/>
      </w:pPr>
      <w:r>
        <w:rPr>
          <w:rFonts w:ascii="Calibri" w:hAnsi="Calibri"/>
          <w:b w:val="0"/>
          <w:sz w:val="20"/>
        </w:rPr>
        <w:t>Belirti: Dosya doğru, canlı eski.</w:t>
      </w:r>
    </w:p>
    <w:p>
      <w:pPr>
        <w:spacing w:after="100" w:line="283" w:lineRule="auto"/>
      </w:pPr>
      <w:r>
        <w:rPr>
          <w:rFonts w:ascii="Calibri" w:hAnsi="Calibri"/>
          <w:b w:val="0"/>
          <w:sz w:val="20"/>
        </w:rPr>
        <w:t>Çözüm: Önbellek temizliği (purge) adımı koşulur; başlık fetch tekrarlanır.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Mod: Önizleme eskimesi</w:t>
      </w:r>
    </w:p>
    <w:p>
      <w:pPr>
        <w:spacing w:after="40" w:line="283" w:lineRule="auto"/>
      </w:pPr>
      <w:r>
        <w:rPr>
          <w:rFonts w:ascii="Calibri" w:hAnsi="Calibri"/>
          <w:b w:val="0"/>
          <w:sz w:val="20"/>
        </w:rPr>
        <w:t>Belirti: Sosyal kart günler önceki hali gösterir.</w:t>
      </w:r>
    </w:p>
    <w:p>
      <w:pPr>
        <w:spacing w:after="100" w:line="283" w:lineRule="auto"/>
      </w:pPr>
      <w:r>
        <w:rPr>
          <w:rFonts w:ascii="Calibri" w:hAnsi="Calibri"/>
          <w:b w:val="0"/>
          <w:sz w:val="20"/>
        </w:rPr>
        <w:t>Çözüm: paylaşım önizleme aracında (Sharing Debugger) tazeleme; iki temsilci URL ile doğrulama.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27. Sürüm Kabul Kontrol Listesi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CLI = kapı = kayıt (80/26) eşitliği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Test paketleri (motor+güvenlik) OK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İdempotenlik: ikinci koşu sıfır fark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İki referans sitede tam tur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YOL HARİTASI = 0 teyidi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Patch/Count/Test raporları üretildi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Sağlama toplamı'lar paket-sonrası hesaplandı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Aç-doğrula: sağlama toplamı + kritik dosya varlığı</w:t>
      </w:r>
    </w:p>
    <w:p>
      <w:pPr>
        <w:spacing w:after="40"/>
        <w:ind w:left="432"/>
      </w:pPr>
      <w:r>
        <w:rPr>
          <w:b/>
          <w:color w:val="C9A227"/>
          <w:sz w:val="20"/>
        </w:rPr>
        <w:t>▸  Donmuş anlık görüntü (freeze-snapshot) değişmedi</w:t>
      </w:r>
      <w:r>
        <w:rPr>
          <w:rFonts w:ascii="Calibri" w:hAnsi="Calibri"/>
          <w:sz w:val="20"/>
        </w:rPr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İddia güvenliği (iddia güvenliği) grep temiz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Geri alma provası yapıldı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Sayı-köken defteri güncel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28. Teknik Mini Sözlük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İdempotenlik — Aynı girdiyle tekrar koşunun yeni fark üretmemesi.</w:t>
      </w:r>
    </w:p>
    <w:p>
      <w:pPr>
        <w:spacing w:after="40"/>
        <w:ind w:left="432"/>
      </w:pPr>
      <w:r>
        <w:rPr>
          <w:b/>
          <w:color w:val="C9A227"/>
          <w:sz w:val="20"/>
        </w:rPr>
        <w:t>▸  Freeze anlık görünüm — Sürümler arası değişmeyen çekirdek imzası.</w:t>
      </w:r>
      <w:r>
        <w:rPr>
          <w:rFonts w:ascii="Calibri" w:hAnsi="Calibri"/>
          <w:sz w:val="20"/>
        </w:rPr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Axis — Bulgunun kalite ekseni (SEO/A11Y/TRUST…).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Class — Bulgunun artefakt sınıfı (ENTEGRE/CANLI KÖPRÜ/…).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requires_live — Köprünün offline durum değeri.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Maskeli bulgu — Sır değerinin rapora yazılmaması.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Tek-kaynak CSP — Politikanın tek yerden yönetilmesi kuralı.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Beklenen set — Canlı fetch'in kıyaslandığı başlık listesi.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Aç-doğrula — Paket sonrası zip+sağlama toplamı+kritik-dosya kontrolü.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Fark raporu — Beklenen↔canlı fark tablosu.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29. İki Referans Koşunun Anatomisi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Her sürüm iki referans sitede tam tur ile kabul edilir; R50'de iki koşunun iç-hazırlık profili şöyleydi (skorlar motorun iç ölçüsüdür; canlı araç notu değildir):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600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Koşu</w:t>
            </w:r>
          </w:p>
        </w:tc>
        <w:tc>
          <w:tcPr>
            <w:tcW w:type="dxa" w:w="2448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İç skor (önce→sonra)</w:t>
            </w:r>
          </w:p>
        </w:tc>
        <w:tc>
          <w:tcPr>
            <w:tcW w:type="dxa" w:w="3312"/>
            <w:shd w:val="clear" w:fill="1F3A5F"/>
          </w:tcPr>
          <w:p>
            <w:pPr>
              <w:jc w:val="center"/>
            </w:pPr>
            <w:r>
              <w:t>Öne çıkan düzeltme sınıfları</w:t>
            </w:r>
            <w:r>
              <w:rPr>
                <w:rFonts w:ascii="Calibri" w:hAnsi="Calibri"/>
                <w:b/>
                <w:color w:val="FFFFFF"/>
                <w:sz w:val="17"/>
              </w:rPr>
            </w:r>
          </w:p>
        </w:tc>
      </w:tr>
      <w:tr>
        <w:tc>
          <w:tcPr>
            <w:tcW w:type="dxa" w:w="360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Referans A (kurumsal ürün sitesi)</w:t>
            </w:r>
          </w:p>
        </w:tc>
        <w:tc>
          <w:tcPr>
            <w:tcW w:type="dxa" w:w="244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88 → 96</w:t>
            </w:r>
          </w:p>
        </w:tc>
        <w:tc>
          <w:tcPr>
            <w:tcW w:type="dxa" w:w="331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başlık reçetesi · OG/Twitter tamamlanması · sitemap/robots yenileme</w:t>
            </w:r>
          </w:p>
        </w:tc>
      </w:tr>
      <w:tr>
        <w:tc>
          <w:tcPr>
            <w:tcW w:type="dxa" w:w="360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Referans B (kurumsal hizmet sitesi)</w:t>
            </w:r>
          </w:p>
        </w:tc>
        <w:tc>
          <w:tcPr>
            <w:tcW w:type="dxa" w:w="244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87 → 98</w:t>
            </w:r>
          </w:p>
        </w:tc>
        <w:tc>
          <w:tcPr>
            <w:tcW w:type="dxa" w:w="331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meta/kanonik tamamlama · JSON-LD temel blokları · görsel boyut/lazy</w:t>
            </w:r>
          </w:p>
        </w:tc>
      </w:tr>
    </w:tbl>
    <w:p>
      <w:pPr>
        <w:spacing w:after="40"/>
      </w:pP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İki koşunun ortak deseni öğreticidir: en büyük skor sıçramaları 'eksik meta katmanı' ve 'teslimat hijyeni' sınıflarından gelir; güvenlik başlıkları ise skoru değil risk profilini değiştirir ve gerçek karşılığı ancak canlı turda görünür. Koşu çıktıları (RUN_SUMMARY, iki manifest, değişen-dosya listeleri) sürümün kanıt paketinde saklanır.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30. Köprü-Sonuç Bağlama Örneği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Köprünün pratikte nasıl çalıştığını tek satırda gösterelim. Beklenen-set kaydı şunu der: 'strict-transport-security başlığı canlı yanıtın içinde bulunmalı; ölçüm: canlı başlık fetch'i + SecurityHeaders'. Dağıt-Doğrula turunda canlı fetch üç sonuçtan birini döndürür: başlık beklenen değerle var (satır kapanır), başlık var ama değer farklı (fark tablosuna değer-uyuşmazlığı olarak yazılır), başlık yok (önce önbellek temizliği kontrolü, sonra sunucu-işleme teşhisi). Köprünün görevi bu üçlü sonucu başlangıç ölçümü satırına bağlamaktır — böylece 'başlık hazırlandı' iddiası hangi tarihte, hangi yanıtla doğrulandıysa o kayıtla birlikte durur.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31. Reçete-Doğrulama Sorgu Kalıpları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Dış reçetelerin 'doğrulama' alanı, standart yönetim sorgularına dayanır; en sık kullanılan kalıplar: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E-posta kimliği: TXT kaydı sorgusu ile SPF/DMARC metninin yayında olduğunu görmek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DNSSEC: DS kaydı sorgusunun boş dönmemesi</w:t>
      </w:r>
    </w:p>
    <w:p>
      <w:pPr>
        <w:spacing w:after="40"/>
        <w:ind w:left="432"/>
      </w:pPr>
      <w:r>
        <w:rPr>
          <w:b/>
          <w:color w:val="C9A227"/>
          <w:sz w:val="20"/>
        </w:rPr>
        <w:t>▸  HSTS ön yükleme: ön yükleme listesi durum sayfasında alan adının görünmesi</w:t>
      </w:r>
      <w:r>
        <w:rPr>
          <w:rFonts w:ascii="Calibri" w:hAnsi="Calibri"/>
          <w:sz w:val="20"/>
        </w:rPr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Sunucu başlıkları: canlı yanıt başlıklarının çekilip beklenen setle kıyaslanması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security.txt: /.well-known/security.txt yolunun 200 dönmesi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Arama konsolları: mülk doğrulamasının panelde 'doğrulandı' görünmesi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Kalıpların ortak özelliği tarafsızlığıdır: doğrulama, reçeteyi yazanın beyanına değil, herkesin tekrarlayabileceği sorguya dayanır.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32. Rehber Çapraz-Referans Haritası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Bu notun her ana konusu, 46 sayfalık Yetenek Rehberi'nde daha geniş bir bölümle eşleşir; derinleşmek isteyen okuyucu için harita: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464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Bu nottaki konu</w:t>
            </w:r>
          </w:p>
        </w:tc>
        <w:tc>
          <w:tcPr>
            <w:tcW w:type="dxa" w:w="4608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Rehber bölümü</w:t>
            </w:r>
          </w:p>
        </w:tc>
      </w:tr>
      <w:tr>
        <w:tc>
          <w:tcPr>
            <w:tcW w:type="dxa" w:w="446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Mimari ve modlar (§2-3)</w:t>
            </w:r>
          </w:p>
        </w:tc>
        <w:tc>
          <w:tcPr>
            <w:tcW w:type="dxa" w:w="460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Rehber §5-9 (10 alan + dört mod derin)</w:t>
            </w:r>
          </w:p>
        </w:tc>
      </w:tr>
      <w:tr>
        <w:tc>
          <w:tcPr>
            <w:tcW w:type="dxa" w:w="446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Güvenlik katmanı (§5)</w:t>
            </w:r>
          </w:p>
        </w:tc>
        <w:tc>
          <w:tcPr>
            <w:tcW w:type="dxa" w:w="460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Rehber §11 Güvenlik Sınırı</w:t>
            </w:r>
          </w:p>
        </w:tc>
      </w:tr>
      <w:tr>
        <w:tc>
          <w:tcPr>
            <w:tcW w:type="dxa" w:w="446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Güvenli Düzeltme mühendisliği (§6)</w:t>
            </w:r>
          </w:p>
        </w:tc>
        <w:tc>
          <w:tcPr>
            <w:tcW w:type="dxa" w:w="460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Rehber §7 + §31 Rapor Okuma</w:t>
            </w:r>
          </w:p>
        </w:tc>
      </w:tr>
      <w:tr>
        <w:tc>
          <w:tcPr>
            <w:tcW w:type="dxa" w:w="446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Köprü sözleşmesi (§7, §30)</w:t>
            </w:r>
          </w:p>
        </w:tc>
        <w:tc>
          <w:tcPr>
            <w:tcW w:type="dxa" w:w="460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Rehber §18 Canlı Doğrulama Köprüleri</w:t>
            </w:r>
          </w:p>
        </w:tc>
      </w:tr>
      <w:tr>
        <w:tc>
          <w:tcPr>
            <w:tcW w:type="dxa" w:w="446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Dış reçeteler (§8, §31)</w:t>
            </w:r>
          </w:p>
        </w:tc>
        <w:tc>
          <w:tcPr>
            <w:tcW w:type="dxa" w:w="460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Rehber §17 + §34 Araç Protokolü</w:t>
            </w:r>
          </w:p>
        </w:tc>
      </w:tr>
      <w:tr>
        <w:tc>
          <w:tcPr>
            <w:tcW w:type="dxa" w:w="446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Hata modları (§26)</w:t>
            </w:r>
          </w:p>
        </w:tc>
        <w:tc>
          <w:tcPr>
            <w:tcW w:type="dxa" w:w="460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Rehber §29 Sık Yapılan Hatalar</w:t>
            </w:r>
          </w:p>
        </w:tc>
      </w:tr>
      <w:tr>
        <w:tc>
          <w:tcPr>
            <w:tcW w:type="dxa" w:w="446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Kabul listesi (§27)</w:t>
            </w:r>
          </w:p>
        </w:tc>
        <w:tc>
          <w:tcPr>
            <w:tcW w:type="dxa" w:w="460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Rehber §32 Sürüm Disiplini</w:t>
            </w:r>
          </w:p>
        </w:tc>
      </w:tr>
      <w:tr>
        <w:tc>
          <w:tcPr>
            <w:tcW w:type="dxa" w:w="446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Veri işleme (§22)</w:t>
            </w:r>
          </w:p>
        </w:tc>
        <w:tc>
          <w:tcPr>
            <w:tcW w:type="dxa" w:w="4608"/>
          </w:tcPr>
          <w:p>
            <w:pPr>
              <w:jc w:val="left"/>
            </w:pPr>
            <w:r>
              <w:t>Rehber §16 Gizlilik + §38 Tedarikçi Soruları</w:t>
            </w:r>
            <w:r>
              <w:rPr>
                <w:rFonts w:ascii="Calibri" w:hAnsi="Calibri"/>
                <w:b w:val="0"/>
                <w:sz w:val="17"/>
              </w:rPr>
            </w:r>
          </w:p>
        </w:tc>
      </w:tr>
    </w:tbl>
    <w:p>
      <w:pPr>
        <w:spacing w:after="40"/>
      </w:pP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Harita, iki dokümanın tek gövdenin parçaları olduğunu görünür kılar: teknik not sözleşmeyi, rehber bağlamı taşır.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33. Beklenen-Set Referansı: Dokuz Başlık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Dağıt-Doğrula'nın satır-satır kıyasladığı dokuz başlık; her biri için beklenen kalıp ve tek-cümle gerekçe: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2736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Başlık</w:t>
            </w:r>
          </w:p>
        </w:tc>
        <w:tc>
          <w:tcPr>
            <w:tcW w:type="dxa" w:w="3168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Beklenen kalıp</w:t>
            </w:r>
          </w:p>
        </w:tc>
        <w:tc>
          <w:tcPr>
            <w:tcW w:type="dxa" w:w="3024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Gerekçe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strict-transport-security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max-age + includeSubDomains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HTTPS kalıcılığı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content-security-policy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tek kaynak; origin beyaz-liste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enjeksiyon yüzeyini daraltır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x-content-type-options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nosniff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MIME karıştırmayı keser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x-frame-options / frame-ancestors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SAMEORIGIN ya da CSP karşılığı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clickjacking koruması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referrer-policy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strict-origin-when-cross-origin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URL sızıntısını sınırlar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permissions-policy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kullanılmayan API'ler kapalı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yüzey küçültme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cache-control (varlıklar)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tip-bazlı max-age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hız + tazelik dengesi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content-type + charset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doğru tip; utf-8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kodlama tutarlılığı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location (yönlendirme)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tek adım; https hedef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zincir ve döngü yok</w:t>
            </w:r>
          </w:p>
        </w:tc>
      </w:tr>
    </w:tbl>
    <w:p>
      <w:pPr>
        <w:spacing w:after="40"/>
      </w:pP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Kalıplar başlangıç referansıdır; site-özel politika (örn. üçüncü-taraf gereksinimleri) beklenen-seti bilinçli olarak değiştirebilir — değişiklik nedeni fark raporunda not düşülür.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34. Kanıt Paketi Kabul Provası — Alıcı İçin Beş Dakikalık Prosedür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Teknik değerlendirici, teslim edilen kanıt paketini beş dakikada kendi eliyle doğrulayabilir; bu prova, tedarikçi beyanına ihtiyaç bırakmaz ve her adımı tekrarlanabilir bir sorguya dayanır.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Adım 1 — Aç ve envanteri gör: ZIP açılır, MANIFEST dosya/boyut/tür envanteriyle beklenen yapı karşılaştırılır. Eksik üst-klasör (reports/, safefix/) ilk uyarıdır.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Adım 2 — Bütünlüğü doğrula: sağlama toplamı dosyası üzerinde standart doğrulama komutu çalıştırılır; tüm satırlar OK dönmeli. Tek satır bile FAIL ise paket elden geçmiştir ve reddedilir.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Adım 3 — Sayıyı denetle: CONTROL_REGISTRY (ya da eşdeğeri) satır sayısı ile pazarlama sayısı (319) karşılaştırılır; katalog büyüklüğü (2.033) ayrı sütunda olmalı, ikisi karıştırılmamalı.</w:t>
      </w:r>
    </w:p>
    <w:p>
      <w:pPr>
        <w:spacing w:after="40"/>
        <w:ind w:left="432"/>
      </w:pPr>
      <w:r>
        <w:rPr>
          <w:b/>
          <w:color w:val="C9A227"/>
          <w:sz w:val="21"/>
        </w:rPr>
        <w:t>▸  Adım 4 — Geri-dönüşü sına: ROLLBACK_MANIFEST (geri alma manifesti) içindeki backup_dir'den bir dosya geri kopyalanır ve sitenin açıldığı görülür — 'geri alınabilir' iddiasının canlı provası budur.</w:t>
      </w:r>
      <w:r>
        <w:rPr>
          <w:rFonts w:ascii="Calibri" w:hAnsi="Calibri"/>
          <w:sz w:val="21"/>
        </w:rPr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Adım 5 — Canlı bağı kontrol et: Dağıt-Doğrula fark raporunda en az bir başlık satırının beklenen↔canlı kıyasını ve bağlı bağımsız-araç sonucunu doğrula; 'hazırlandı' iddiası bir tarihe ve yanıta bağlı olmalı.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Prova geçerse paket kabul edilir; herhangi bir adım başarısızsa sorun sınıfı (bütünlük / sayı / geri-dönüş / canlı bağ) nettir ve tedarikçiye tek cümleyle iletilebilir. Bu prosedürün kendisi, ürünün 'dosya konuşur' vaadinin alıcı-tarafı kanıtıdır.</w:t>
      </w:r>
    </w:p>
    <w:sectPr w:rsidR="00FC693F" w:rsidRPr="0006063C" w:rsidSect="00034616">
      <w:footerReference w:type="default" r:id="rId9"/>
      <w:headerReference w:type="default" r:id="rId13"/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A66"/>
        <w:sz w:val="15"/>
      </w:rPr>
      <w:t>© 2026 Şenol Vatansever · WebTrustEngine R50 v3.7 · Garanti verilmez; hazırlık ve kanıt üretilir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WebTrustEngine R50 Technical Trust Note v3.6</dc:title>
  <dc:subject/>
  <dc:creator>Şenol Vatansever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